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01F7C" w14:textId="1E827DDE" w:rsidR="00785C98" w:rsidRPr="00920761" w:rsidRDefault="00F636B0" w:rsidP="00A87F7A">
      <w:pPr>
        <w:jc w:val="center"/>
        <w:rPr>
          <w:rFonts w:asciiTheme="majorBidi" w:hAnsiTheme="majorBidi" w:cstheme="majorBidi"/>
          <w:b/>
          <w:sz w:val="32"/>
          <w:szCs w:val="32"/>
        </w:rPr>
      </w:pPr>
      <w:r w:rsidRPr="00920761">
        <w:rPr>
          <w:rFonts w:asciiTheme="majorBidi" w:hAnsiTheme="majorBidi" w:cstheme="majorBidi"/>
          <w:b/>
          <w:sz w:val="32"/>
          <w:szCs w:val="32"/>
        </w:rPr>
        <w:t>UK Technology</w:t>
      </w:r>
      <w:r w:rsidR="00E07F62" w:rsidRPr="00920761">
        <w:rPr>
          <w:rFonts w:asciiTheme="majorBidi" w:hAnsiTheme="majorBidi" w:cstheme="majorBidi"/>
          <w:b/>
          <w:sz w:val="32"/>
          <w:szCs w:val="32"/>
        </w:rPr>
        <w:t xml:space="preserve"> and Resea</w:t>
      </w:r>
      <w:r w:rsidR="00A87F7A" w:rsidRPr="00920761">
        <w:rPr>
          <w:rFonts w:asciiTheme="majorBidi" w:hAnsiTheme="majorBidi" w:cstheme="majorBidi"/>
          <w:b/>
          <w:sz w:val="32"/>
          <w:szCs w:val="32"/>
        </w:rPr>
        <w:t>rch</w:t>
      </w:r>
      <w:r w:rsidRPr="00920761">
        <w:rPr>
          <w:rFonts w:asciiTheme="majorBidi" w:hAnsiTheme="majorBidi" w:cstheme="majorBidi"/>
          <w:b/>
          <w:sz w:val="32"/>
          <w:szCs w:val="32"/>
        </w:rPr>
        <w:t xml:space="preserve"> Roadmap </w:t>
      </w:r>
      <w:r w:rsidR="007E59AD" w:rsidRPr="00920761">
        <w:rPr>
          <w:rFonts w:asciiTheme="majorBidi" w:hAnsiTheme="majorBidi" w:cstheme="majorBidi"/>
          <w:b/>
          <w:sz w:val="32"/>
          <w:szCs w:val="32"/>
        </w:rPr>
        <w:t>–</w:t>
      </w:r>
      <w:r w:rsidRPr="00920761">
        <w:rPr>
          <w:rFonts w:asciiTheme="majorBidi" w:hAnsiTheme="majorBidi" w:cstheme="majorBidi"/>
          <w:b/>
          <w:sz w:val="32"/>
          <w:szCs w:val="32"/>
        </w:rPr>
        <w:t xml:space="preserve"> </w:t>
      </w:r>
      <w:r w:rsidR="007E59AD" w:rsidRPr="00920761">
        <w:rPr>
          <w:rFonts w:asciiTheme="majorBidi" w:hAnsiTheme="majorBidi" w:cstheme="majorBidi"/>
          <w:b/>
          <w:sz w:val="32"/>
          <w:szCs w:val="32"/>
        </w:rPr>
        <w:t>Ship System</w:t>
      </w:r>
      <w:r w:rsidR="00C644EF">
        <w:rPr>
          <w:rFonts w:asciiTheme="majorBidi" w:hAnsiTheme="majorBidi" w:cstheme="majorBidi"/>
          <w:b/>
          <w:sz w:val="32"/>
          <w:szCs w:val="32"/>
        </w:rPr>
        <w:t>s</w:t>
      </w:r>
      <w:r w:rsidR="007E59AD" w:rsidRPr="00920761">
        <w:rPr>
          <w:rFonts w:asciiTheme="majorBidi" w:hAnsiTheme="majorBidi" w:cstheme="majorBidi"/>
          <w:b/>
          <w:sz w:val="32"/>
          <w:szCs w:val="32"/>
        </w:rPr>
        <w:t xml:space="preserve"> and Technologies</w:t>
      </w:r>
    </w:p>
    <w:p w14:paraId="27D60783" w14:textId="77777777" w:rsidR="00DB30AD" w:rsidRPr="00F80DAC" w:rsidRDefault="00DB30AD" w:rsidP="00A87F7A">
      <w:pPr>
        <w:jc w:val="center"/>
        <w:rPr>
          <w:rFonts w:asciiTheme="majorBidi" w:hAnsiTheme="majorBidi" w:cstheme="majorBidi"/>
          <w:b/>
          <w:sz w:val="32"/>
        </w:rPr>
      </w:pPr>
    </w:p>
    <w:p w14:paraId="4691531D" w14:textId="77777777" w:rsidR="00DB30AD" w:rsidRPr="00F80DAC" w:rsidRDefault="00DB30AD" w:rsidP="00A87F7A">
      <w:pPr>
        <w:jc w:val="center"/>
        <w:rPr>
          <w:rFonts w:asciiTheme="majorBidi" w:hAnsiTheme="majorBidi" w:cstheme="majorBidi"/>
          <w:b/>
          <w:bCs/>
        </w:rPr>
      </w:pPr>
    </w:p>
    <w:p w14:paraId="2474C9F1" w14:textId="77777777" w:rsidR="00785C98" w:rsidRPr="00B65F67" w:rsidRDefault="00F636B0" w:rsidP="00DB30AD">
      <w:pPr>
        <w:rPr>
          <w:rFonts w:asciiTheme="majorBidi" w:hAnsiTheme="majorBidi" w:cstheme="majorBidi"/>
          <w:b/>
          <w:sz w:val="24"/>
          <w:szCs w:val="24"/>
        </w:rPr>
      </w:pPr>
      <w:r w:rsidRPr="00B65F67">
        <w:rPr>
          <w:rFonts w:asciiTheme="majorBidi" w:hAnsiTheme="majorBidi" w:cstheme="majorBidi"/>
          <w:b/>
          <w:sz w:val="24"/>
          <w:szCs w:val="24"/>
        </w:rPr>
        <w:t>Maturity tags used in the table: Model, Test, Uptake, Scale.</w:t>
      </w:r>
    </w:p>
    <w:p w14:paraId="520DE339" w14:textId="21AD9EDB" w:rsidR="004A521A" w:rsidRPr="00F80DAC" w:rsidRDefault="00F636B0" w:rsidP="00DB30AD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Theme="majorBidi" w:hAnsiTheme="majorBidi" w:cstheme="majorBidi"/>
        </w:rPr>
      </w:pPr>
      <w:r w:rsidRPr="00F80DAC">
        <w:rPr>
          <w:rStyle w:val="Strong"/>
          <w:rFonts w:asciiTheme="majorBidi" w:hAnsiTheme="majorBidi" w:cstheme="majorBidi"/>
        </w:rPr>
        <w:t>Model:</w:t>
      </w:r>
      <w:r w:rsidRPr="00F80DAC">
        <w:rPr>
          <w:rFonts w:asciiTheme="majorBidi" w:hAnsiTheme="majorBidi" w:cstheme="majorBidi"/>
        </w:rPr>
        <w:t xml:space="preserve"> Concept/design stage using modelling and simulation (including techno-economic assessment and safety case development); not yet validated in </w:t>
      </w:r>
      <w:r w:rsidRPr="00F80DAC">
        <w:rPr>
          <w:rStyle w:val="Strong"/>
          <w:rFonts w:asciiTheme="majorBidi" w:hAnsiTheme="majorBidi" w:cstheme="majorBidi"/>
          <w:b w:val="0"/>
          <w:bCs w:val="0"/>
        </w:rPr>
        <w:t>operationally representative trials</w:t>
      </w:r>
      <w:r w:rsidRPr="00F80DAC">
        <w:rPr>
          <w:rFonts w:asciiTheme="majorBidi" w:hAnsiTheme="majorBidi" w:cstheme="majorBidi"/>
          <w:b/>
          <w:bCs/>
        </w:rPr>
        <w:t>.</w:t>
      </w:r>
    </w:p>
    <w:p w14:paraId="7177149B" w14:textId="76F12AEC" w:rsidR="004A521A" w:rsidRPr="00F80DAC" w:rsidRDefault="00F636B0" w:rsidP="00DB30AD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Theme="majorBidi" w:hAnsiTheme="majorBidi" w:cstheme="majorBidi"/>
        </w:rPr>
      </w:pPr>
      <w:r w:rsidRPr="00F80DAC">
        <w:rPr>
          <w:rStyle w:val="Strong"/>
          <w:rFonts w:asciiTheme="majorBidi" w:hAnsiTheme="majorBidi" w:cstheme="majorBidi"/>
        </w:rPr>
        <w:t>Test:</w:t>
      </w:r>
      <w:r w:rsidRPr="00F80DAC">
        <w:rPr>
          <w:rFonts w:asciiTheme="majorBidi" w:hAnsiTheme="majorBidi" w:cstheme="majorBidi"/>
        </w:rPr>
        <w:t xml:space="preserve"> Demonstration/pilot stage through prototypes, land-based rigs, and/or sea trials; performance and safety being validated in </w:t>
      </w:r>
      <w:r w:rsidRPr="00F80DAC">
        <w:rPr>
          <w:rStyle w:val="Strong"/>
          <w:rFonts w:asciiTheme="majorBidi" w:hAnsiTheme="majorBidi" w:cstheme="majorBidi"/>
          <w:b w:val="0"/>
          <w:bCs w:val="0"/>
        </w:rPr>
        <w:t>operationally representative trials</w:t>
      </w:r>
      <w:r w:rsidRPr="00F80DAC">
        <w:rPr>
          <w:rFonts w:asciiTheme="majorBidi" w:hAnsiTheme="majorBidi" w:cstheme="majorBidi"/>
          <w:b/>
          <w:bCs/>
        </w:rPr>
        <w:t>.</w:t>
      </w:r>
    </w:p>
    <w:p w14:paraId="5D1D427F" w14:textId="1E30151F" w:rsidR="004A521A" w:rsidRPr="00F80DAC" w:rsidRDefault="00F636B0" w:rsidP="00DB30AD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Theme="majorBidi" w:hAnsiTheme="majorBidi" w:cstheme="majorBidi"/>
        </w:rPr>
      </w:pPr>
      <w:r w:rsidRPr="00F80DAC">
        <w:rPr>
          <w:rStyle w:val="Strong"/>
          <w:rFonts w:asciiTheme="majorBidi" w:hAnsiTheme="majorBidi" w:cstheme="majorBidi"/>
        </w:rPr>
        <w:t>Uptake:</w:t>
      </w:r>
      <w:r w:rsidRPr="00F80DAC">
        <w:rPr>
          <w:rFonts w:asciiTheme="majorBidi" w:hAnsiTheme="majorBidi" w:cstheme="majorBidi"/>
        </w:rPr>
        <w:t xml:space="preserve"> Early commercial deployment in real operations (first movers/early adopters); limited fleet share and maturing supply chains and standards.</w:t>
      </w:r>
    </w:p>
    <w:p w14:paraId="5BE4AB4E" w14:textId="77777777" w:rsidR="00F636B0" w:rsidRPr="00F80DAC" w:rsidRDefault="00F636B0" w:rsidP="00DB30AD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rPr>
          <w:rFonts w:asciiTheme="majorBidi" w:hAnsiTheme="majorBidi" w:cstheme="majorBidi"/>
        </w:rPr>
      </w:pPr>
      <w:r w:rsidRPr="00F80DAC">
        <w:rPr>
          <w:rStyle w:val="Strong"/>
          <w:rFonts w:asciiTheme="majorBidi" w:hAnsiTheme="majorBidi" w:cstheme="majorBidi"/>
        </w:rPr>
        <w:t>Scale:</w:t>
      </w:r>
      <w:r w:rsidRPr="00F80DAC">
        <w:rPr>
          <w:rFonts w:asciiTheme="majorBidi" w:hAnsiTheme="majorBidi" w:cstheme="majorBidi"/>
        </w:rPr>
        <w:t xml:space="preserve"> Widespread adoption as a standard solution across relevant ship types; mature supply chains, standards, and operational practices.</w:t>
      </w:r>
    </w:p>
    <w:p w14:paraId="75265C81" w14:textId="450806E7" w:rsidR="00B3664C" w:rsidRPr="00F80DAC" w:rsidRDefault="00B3664C">
      <w:pPr>
        <w:rPr>
          <w:rFonts w:asciiTheme="majorBidi" w:hAnsiTheme="majorBidi" w:cstheme="majorBidi"/>
          <w:lang w:val="en-GB"/>
        </w:rPr>
      </w:pPr>
      <w:r w:rsidRPr="00F80DAC">
        <w:rPr>
          <w:rFonts w:asciiTheme="majorBidi" w:hAnsiTheme="majorBidi" w:cstheme="majorBidi"/>
          <w:lang w:val="en-GB"/>
        </w:rPr>
        <w:br w:type="page"/>
      </w:r>
    </w:p>
    <w:p w14:paraId="5FFD9A5E" w14:textId="77777777" w:rsidR="00A87F7A" w:rsidRPr="00F80DAC" w:rsidRDefault="00A87F7A" w:rsidP="00A87F7A">
      <w:pPr>
        <w:rPr>
          <w:rFonts w:asciiTheme="majorBidi" w:hAnsiTheme="majorBidi" w:cstheme="majorBidi"/>
          <w:lang w:val="en-GB"/>
        </w:rPr>
      </w:pPr>
    </w:p>
    <w:p w14:paraId="2F73D9A0" w14:textId="77777777" w:rsidR="00785C98" w:rsidRPr="00F80DAC" w:rsidRDefault="00785C98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3"/>
        <w:gridCol w:w="3915"/>
        <w:gridCol w:w="3939"/>
        <w:gridCol w:w="3851"/>
      </w:tblGrid>
      <w:tr w:rsidR="006E359A" w:rsidRPr="00F80DAC" w14:paraId="2FB4C8FF" w14:textId="77777777" w:rsidTr="008D08E9">
        <w:trPr>
          <w:cantSplit/>
          <w:tblHeader/>
        </w:trPr>
        <w:tc>
          <w:tcPr>
            <w:tcW w:w="2623" w:type="dxa"/>
            <w:vMerge w:val="restart"/>
            <w:shd w:val="clear" w:color="auto" w:fill="92D050"/>
          </w:tcPr>
          <w:p w14:paraId="6097FFB3" w14:textId="77777777" w:rsidR="00AF3243" w:rsidRDefault="00AF3243">
            <w:pPr>
              <w:jc w:val="center"/>
              <w:rPr>
                <w:rFonts w:asciiTheme="majorBidi" w:hAnsiTheme="majorBidi" w:cstheme="majorBidi"/>
                <w:b/>
                <w:sz w:val="20"/>
              </w:rPr>
            </w:pPr>
          </w:p>
          <w:p w14:paraId="30379597" w14:textId="77777777" w:rsidR="00AF3243" w:rsidRDefault="00AF3243">
            <w:pPr>
              <w:jc w:val="center"/>
              <w:rPr>
                <w:rFonts w:asciiTheme="majorBidi" w:hAnsiTheme="majorBidi" w:cstheme="majorBidi"/>
                <w:b/>
                <w:sz w:val="20"/>
              </w:rPr>
            </w:pPr>
          </w:p>
          <w:p w14:paraId="4AE88C0B" w14:textId="77777777" w:rsidR="00AF3243" w:rsidRDefault="00AF3243">
            <w:pPr>
              <w:jc w:val="center"/>
              <w:rPr>
                <w:rFonts w:asciiTheme="majorBidi" w:hAnsiTheme="majorBidi" w:cstheme="majorBidi"/>
                <w:b/>
                <w:sz w:val="20"/>
              </w:rPr>
            </w:pPr>
          </w:p>
          <w:p w14:paraId="09BE781C" w14:textId="77777777" w:rsidR="00AF3243" w:rsidRDefault="00AF3243">
            <w:pPr>
              <w:jc w:val="center"/>
              <w:rPr>
                <w:rFonts w:asciiTheme="majorBidi" w:hAnsiTheme="majorBidi" w:cstheme="majorBidi"/>
                <w:b/>
                <w:sz w:val="20"/>
              </w:rPr>
            </w:pPr>
          </w:p>
          <w:p w14:paraId="3DC76DDC" w14:textId="77777777" w:rsidR="00AF3243" w:rsidRDefault="00AF3243">
            <w:pPr>
              <w:jc w:val="center"/>
              <w:rPr>
                <w:rFonts w:asciiTheme="majorBidi" w:hAnsiTheme="majorBidi" w:cstheme="majorBidi"/>
                <w:b/>
                <w:sz w:val="20"/>
              </w:rPr>
            </w:pPr>
          </w:p>
          <w:p w14:paraId="55FFA23D" w14:textId="77777777" w:rsidR="00AF3243" w:rsidRDefault="00AF3243">
            <w:pPr>
              <w:jc w:val="center"/>
              <w:rPr>
                <w:rFonts w:asciiTheme="majorBidi" w:hAnsiTheme="majorBidi" w:cstheme="majorBidi"/>
                <w:b/>
                <w:sz w:val="20"/>
              </w:rPr>
            </w:pPr>
          </w:p>
          <w:p w14:paraId="0A709603" w14:textId="26CE5E2D" w:rsidR="006E359A" w:rsidRPr="00F80DAC" w:rsidRDefault="006E359A" w:rsidP="00AF3243">
            <w:pPr>
              <w:jc w:val="center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Theme</w:t>
            </w:r>
            <w:r w:rsidR="00050441">
              <w:rPr>
                <w:rFonts w:asciiTheme="majorBidi" w:hAnsiTheme="majorBidi" w:cstheme="majorBidi"/>
                <w:b/>
                <w:sz w:val="20"/>
              </w:rPr>
              <w:t>s</w:t>
            </w:r>
          </w:p>
        </w:tc>
        <w:tc>
          <w:tcPr>
            <w:tcW w:w="3915" w:type="dxa"/>
            <w:shd w:val="clear" w:color="auto" w:fill="92D050"/>
          </w:tcPr>
          <w:p w14:paraId="1C379E20" w14:textId="77777777" w:rsidR="006E359A" w:rsidRPr="00F80DAC" w:rsidRDefault="006E359A">
            <w:pPr>
              <w:jc w:val="center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2025 - 2030</w:t>
            </w:r>
          </w:p>
        </w:tc>
        <w:tc>
          <w:tcPr>
            <w:tcW w:w="3939" w:type="dxa"/>
            <w:shd w:val="clear" w:color="auto" w:fill="92D050"/>
          </w:tcPr>
          <w:p w14:paraId="1CB9EB79" w14:textId="77777777" w:rsidR="006E359A" w:rsidRPr="00F80DAC" w:rsidRDefault="006E359A">
            <w:pPr>
              <w:jc w:val="center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2030 - 2040</w:t>
            </w:r>
          </w:p>
        </w:tc>
        <w:tc>
          <w:tcPr>
            <w:tcW w:w="3851" w:type="dxa"/>
            <w:shd w:val="clear" w:color="auto" w:fill="92D050"/>
          </w:tcPr>
          <w:p w14:paraId="238B3D20" w14:textId="77777777" w:rsidR="006E359A" w:rsidRPr="00F80DAC" w:rsidRDefault="006E359A">
            <w:pPr>
              <w:jc w:val="center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2040 - 2050</w:t>
            </w:r>
          </w:p>
        </w:tc>
      </w:tr>
      <w:tr w:rsidR="006E359A" w:rsidRPr="00F80DAC" w14:paraId="7A5161DD" w14:textId="77777777" w:rsidTr="008D08E9">
        <w:trPr>
          <w:cantSplit/>
          <w:tblHeader/>
        </w:trPr>
        <w:tc>
          <w:tcPr>
            <w:tcW w:w="2623" w:type="dxa"/>
            <w:vMerge/>
            <w:shd w:val="clear" w:color="auto" w:fill="92D050"/>
          </w:tcPr>
          <w:p w14:paraId="25570048" w14:textId="77777777" w:rsidR="006E359A" w:rsidRPr="00F80DAC" w:rsidRDefault="006E359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915" w:type="dxa"/>
            <w:shd w:val="clear" w:color="auto" w:fill="92D050"/>
          </w:tcPr>
          <w:p w14:paraId="55CB6A78" w14:textId="77777777" w:rsidR="006E359A" w:rsidRPr="00F80DAC" w:rsidRDefault="006E359A" w:rsidP="00425B3F">
            <w:pPr>
              <w:rPr>
                <w:rFonts w:asciiTheme="majorBidi" w:hAnsiTheme="majorBidi" w:cstheme="majorBidi"/>
                <w:b/>
                <w:sz w:val="20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Targets</w:t>
            </w:r>
          </w:p>
          <w:p w14:paraId="11F797D5" w14:textId="375180C3" w:rsidR="006E359A" w:rsidRPr="00F80DAC" w:rsidRDefault="006E359A" w:rsidP="004D2259">
            <w:pPr>
              <w:pStyle w:val="ListParagraph"/>
              <w:numPr>
                <w:ilvl w:val="0"/>
                <w:numId w:val="12"/>
              </w:numPr>
              <w:rPr>
                <w:rFonts w:asciiTheme="majorBidi" w:hAnsiTheme="majorBidi" w:cstheme="majorBidi"/>
                <w:bCs/>
                <w:sz w:val="18"/>
                <w:szCs w:val="20"/>
              </w:rPr>
            </w:pP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At least 30% reduction in fuel-lifecycle GHG emissions from UK domestic maritime by 2030 (vs 2008).</w:t>
            </w:r>
          </w:p>
          <w:p w14:paraId="15B27E62" w14:textId="3A8861CD" w:rsidR="006E359A" w:rsidRPr="00F80DAC" w:rsidRDefault="006E359A" w:rsidP="00D156B8">
            <w:pPr>
              <w:pStyle w:val="ListParagraph"/>
              <w:numPr>
                <w:ilvl w:val="0"/>
                <w:numId w:val="12"/>
              </w:numPr>
              <w:rPr>
                <w:rFonts w:asciiTheme="majorBidi" w:hAnsiTheme="majorBidi" w:cstheme="majorBidi"/>
                <w:bCs/>
                <w:sz w:val="18"/>
                <w:szCs w:val="20"/>
              </w:rPr>
            </w:pP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5–10 large vessels (Length ≥ 24 m) operating routinely in UK waters under approved remote operations and/or supervised autonomy, across 2–3 enabled corridors, supported by 1–3 Remote Operations Centres by 2030.</w:t>
            </w:r>
          </w:p>
        </w:tc>
        <w:tc>
          <w:tcPr>
            <w:tcW w:w="3939" w:type="dxa"/>
            <w:shd w:val="clear" w:color="auto" w:fill="92D050"/>
          </w:tcPr>
          <w:p w14:paraId="70875CD3" w14:textId="77777777" w:rsidR="006E359A" w:rsidRPr="00F80DAC" w:rsidRDefault="006E359A" w:rsidP="00425B3F">
            <w:pPr>
              <w:rPr>
                <w:rFonts w:asciiTheme="majorBidi" w:hAnsiTheme="majorBidi" w:cstheme="majorBidi"/>
                <w:b/>
                <w:sz w:val="20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Targets</w:t>
            </w:r>
          </w:p>
          <w:p w14:paraId="22777244" w14:textId="2FD73F55" w:rsidR="006E359A" w:rsidRPr="00F80DAC" w:rsidRDefault="006E359A" w:rsidP="00CD4D46">
            <w:pPr>
              <w:pStyle w:val="ListParagraph"/>
              <w:numPr>
                <w:ilvl w:val="0"/>
                <w:numId w:val="12"/>
              </w:numPr>
              <w:rPr>
                <w:rFonts w:asciiTheme="majorBidi" w:hAnsiTheme="majorBidi" w:cstheme="majorBidi"/>
                <w:bCs/>
                <w:sz w:val="18"/>
                <w:szCs w:val="20"/>
              </w:rPr>
            </w:pP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At least 80% reduction in fuel-lifecycle GHG emissions from UK domestic maritime by 2040 (vs 2008).</w:t>
            </w:r>
          </w:p>
          <w:p w14:paraId="7BA7403A" w14:textId="6A4AE0F4" w:rsidR="006E359A" w:rsidRPr="00F80DAC" w:rsidRDefault="006E359A" w:rsidP="000C5FCF">
            <w:pPr>
              <w:pStyle w:val="ListParagraph"/>
              <w:numPr>
                <w:ilvl w:val="0"/>
                <w:numId w:val="12"/>
              </w:numPr>
              <w:rPr>
                <w:rFonts w:asciiTheme="majorBidi" w:hAnsiTheme="majorBidi" w:cstheme="majorBidi"/>
                <w:bCs/>
                <w:sz w:val="18"/>
                <w:szCs w:val="20"/>
              </w:rPr>
            </w:pP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2</w:t>
            </w:r>
            <w:r w:rsidR="007E5A76">
              <w:rPr>
                <w:rFonts w:asciiTheme="majorBidi" w:hAnsiTheme="majorBidi" w:cstheme="majorBidi"/>
                <w:bCs/>
                <w:sz w:val="18"/>
                <w:szCs w:val="20"/>
              </w:rPr>
              <w:t>0</w:t>
            </w: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–</w:t>
            </w:r>
            <w:r w:rsidR="00E80F14">
              <w:rPr>
                <w:rFonts w:asciiTheme="majorBidi" w:hAnsiTheme="majorBidi" w:cstheme="majorBidi"/>
                <w:bCs/>
                <w:sz w:val="18"/>
                <w:szCs w:val="20"/>
              </w:rPr>
              <w:t>30</w:t>
            </w: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 xml:space="preserve"> large vessels (Length ≥ 24 m) operating routinely in UK waters under remote operations and/or supervised autonomy, across </w:t>
            </w:r>
            <w:r w:rsidR="00E80F14">
              <w:rPr>
                <w:rFonts w:asciiTheme="majorBidi" w:hAnsiTheme="majorBidi" w:cstheme="majorBidi"/>
                <w:bCs/>
                <w:sz w:val="18"/>
                <w:szCs w:val="20"/>
              </w:rPr>
              <w:t>3</w:t>
            </w: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–</w:t>
            </w:r>
            <w:r w:rsidR="00E80F14">
              <w:rPr>
                <w:rFonts w:asciiTheme="majorBidi" w:hAnsiTheme="majorBidi" w:cstheme="majorBidi"/>
                <w:bCs/>
                <w:sz w:val="18"/>
                <w:szCs w:val="20"/>
              </w:rPr>
              <w:t>6</w:t>
            </w: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 xml:space="preserve"> enabled corridors, supported by 3–5 Remote Operations Centres.</w:t>
            </w:r>
          </w:p>
        </w:tc>
        <w:tc>
          <w:tcPr>
            <w:tcW w:w="3851" w:type="dxa"/>
            <w:shd w:val="clear" w:color="auto" w:fill="92D050"/>
          </w:tcPr>
          <w:p w14:paraId="3E054C98" w14:textId="77777777" w:rsidR="006E359A" w:rsidRPr="00F80DAC" w:rsidRDefault="006E359A" w:rsidP="00425B3F">
            <w:pPr>
              <w:rPr>
                <w:rFonts w:asciiTheme="majorBidi" w:hAnsiTheme="majorBidi" w:cstheme="majorBidi"/>
                <w:b/>
                <w:sz w:val="20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Targets</w:t>
            </w:r>
          </w:p>
          <w:p w14:paraId="12B8BD3C" w14:textId="0490F1C0" w:rsidR="00827FFB" w:rsidRPr="00F80DAC" w:rsidRDefault="00827FFB" w:rsidP="002D56BC">
            <w:pPr>
              <w:pStyle w:val="ListParagraph"/>
              <w:numPr>
                <w:ilvl w:val="0"/>
                <w:numId w:val="12"/>
              </w:numPr>
              <w:rPr>
                <w:rFonts w:asciiTheme="majorBidi" w:hAnsiTheme="majorBidi" w:cstheme="majorBidi"/>
                <w:bCs/>
                <w:sz w:val="18"/>
                <w:szCs w:val="20"/>
              </w:rPr>
            </w:pP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Zero fuel-lifecycle GHG emissions from UK domestic maritime by 2050.</w:t>
            </w:r>
          </w:p>
          <w:p w14:paraId="3345D77E" w14:textId="18C99252" w:rsidR="006E359A" w:rsidRPr="00F80DAC" w:rsidRDefault="007E5A76" w:rsidP="00827FFB">
            <w:pPr>
              <w:pStyle w:val="ListParagraph"/>
              <w:numPr>
                <w:ilvl w:val="0"/>
                <w:numId w:val="12"/>
              </w:numPr>
              <w:rPr>
                <w:rFonts w:asciiTheme="majorBidi" w:hAnsiTheme="majorBidi" w:cstheme="majorBidi"/>
                <w:bCs/>
                <w:sz w:val="18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20"/>
              </w:rPr>
              <w:t>60</w:t>
            </w:r>
            <w:r w:rsidR="006E359A"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–1</w:t>
            </w:r>
            <w:r>
              <w:rPr>
                <w:rFonts w:asciiTheme="majorBidi" w:hAnsiTheme="majorBidi" w:cstheme="majorBidi"/>
                <w:bCs/>
                <w:sz w:val="18"/>
                <w:szCs w:val="20"/>
              </w:rPr>
              <w:t>00</w:t>
            </w:r>
            <w:r w:rsidR="006E359A"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 xml:space="preserve"> large vessels (Length ≥ 24 m) operating routinely in UK waters under remote operations and/or supervised autonomy, across </w:t>
            </w:r>
            <w:r w:rsidR="001E7A58">
              <w:rPr>
                <w:rFonts w:asciiTheme="majorBidi" w:hAnsiTheme="majorBidi" w:cstheme="majorBidi"/>
                <w:bCs/>
                <w:sz w:val="18"/>
                <w:szCs w:val="20"/>
              </w:rPr>
              <w:t>6-12</w:t>
            </w:r>
            <w:r w:rsidR="006E359A"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 xml:space="preserve"> enabled corridors, supported by </w:t>
            </w:r>
            <w:r w:rsidR="001E7A58">
              <w:rPr>
                <w:rFonts w:asciiTheme="majorBidi" w:hAnsiTheme="majorBidi" w:cstheme="majorBidi"/>
                <w:bCs/>
                <w:sz w:val="18"/>
                <w:szCs w:val="20"/>
              </w:rPr>
              <w:t>5-10</w:t>
            </w:r>
            <w:r w:rsidR="006E359A"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 xml:space="preserve"> Remote Operations Centres.</w:t>
            </w:r>
          </w:p>
          <w:p w14:paraId="5A57EDF9" w14:textId="1010FBA8" w:rsidR="006E359A" w:rsidRPr="00F80DAC" w:rsidRDefault="006E359A" w:rsidP="0085142A">
            <w:pPr>
              <w:pStyle w:val="ListParagraph"/>
              <w:numPr>
                <w:ilvl w:val="0"/>
                <w:numId w:val="12"/>
              </w:numPr>
              <w:rPr>
                <w:rFonts w:asciiTheme="majorBidi" w:hAnsiTheme="majorBidi" w:cstheme="majorBidi"/>
                <w:bCs/>
                <w:sz w:val="18"/>
                <w:szCs w:val="20"/>
              </w:rPr>
            </w:pP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 xml:space="preserve">Routine </w:t>
            </w:r>
            <w:r w:rsidR="00A36F05"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high autonomy</w:t>
            </w:r>
            <w:r w:rsidRPr="00F80DAC">
              <w:rPr>
                <w:rFonts w:asciiTheme="majorBidi" w:hAnsiTheme="majorBidi" w:cstheme="majorBidi"/>
                <w:bCs/>
                <w:sz w:val="18"/>
                <w:szCs w:val="20"/>
              </w:rPr>
              <w:t>/remote operations in defined domestic routes by 2050.</w:t>
            </w:r>
          </w:p>
        </w:tc>
      </w:tr>
      <w:tr w:rsidR="006E359A" w:rsidRPr="00F80DAC" w14:paraId="490A3A2A" w14:textId="77777777" w:rsidTr="008D08E9">
        <w:trPr>
          <w:cantSplit/>
          <w:tblHeader/>
        </w:trPr>
        <w:tc>
          <w:tcPr>
            <w:tcW w:w="2623" w:type="dxa"/>
            <w:vMerge/>
            <w:shd w:val="clear" w:color="auto" w:fill="92D050"/>
          </w:tcPr>
          <w:p w14:paraId="51CE9912" w14:textId="77777777" w:rsidR="006E359A" w:rsidRPr="00F80DAC" w:rsidRDefault="006E359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915" w:type="dxa"/>
            <w:shd w:val="clear" w:color="auto" w:fill="92D050"/>
          </w:tcPr>
          <w:p w14:paraId="7DD3214D" w14:textId="1C009BE4" w:rsidR="006E359A" w:rsidRPr="00F80DAC" w:rsidRDefault="006E359A" w:rsidP="00425B3F">
            <w:pPr>
              <w:rPr>
                <w:rFonts w:asciiTheme="majorBidi" w:hAnsiTheme="majorBidi" w:cstheme="majorBidi"/>
                <w:b/>
                <w:sz w:val="20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Technologies</w:t>
            </w:r>
          </w:p>
        </w:tc>
        <w:tc>
          <w:tcPr>
            <w:tcW w:w="3939" w:type="dxa"/>
            <w:shd w:val="clear" w:color="auto" w:fill="92D050"/>
          </w:tcPr>
          <w:p w14:paraId="27B1780B" w14:textId="784E4F01" w:rsidR="006E359A" w:rsidRPr="00F80DAC" w:rsidRDefault="006E359A" w:rsidP="00425B3F">
            <w:pPr>
              <w:rPr>
                <w:rFonts w:asciiTheme="majorBidi" w:hAnsiTheme="majorBidi" w:cstheme="majorBidi"/>
                <w:b/>
                <w:sz w:val="20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Technologies</w:t>
            </w:r>
          </w:p>
        </w:tc>
        <w:tc>
          <w:tcPr>
            <w:tcW w:w="3851" w:type="dxa"/>
            <w:shd w:val="clear" w:color="auto" w:fill="92D050"/>
          </w:tcPr>
          <w:p w14:paraId="5E56F537" w14:textId="61A24584" w:rsidR="006E359A" w:rsidRPr="00F80DAC" w:rsidRDefault="006E359A" w:rsidP="00425B3F">
            <w:pPr>
              <w:rPr>
                <w:rFonts w:asciiTheme="majorBidi" w:hAnsiTheme="majorBidi" w:cstheme="majorBidi"/>
                <w:b/>
                <w:sz w:val="20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Technologies</w:t>
            </w:r>
          </w:p>
        </w:tc>
      </w:tr>
      <w:tr w:rsidR="00785C98" w:rsidRPr="00F80DAC" w14:paraId="4CDBD1C2" w14:textId="77777777" w:rsidTr="00BE0C79">
        <w:trPr>
          <w:cantSplit/>
        </w:trPr>
        <w:tc>
          <w:tcPr>
            <w:tcW w:w="2623" w:type="dxa"/>
          </w:tcPr>
          <w:p w14:paraId="3B241698" w14:textId="77777777" w:rsidR="00785C98" w:rsidRPr="00F80DAC" w:rsidRDefault="00F636B0">
            <w:pPr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Sustainable Propulsion &amp; Power Systems</w:t>
            </w:r>
          </w:p>
        </w:tc>
        <w:tc>
          <w:tcPr>
            <w:tcW w:w="3915" w:type="dxa"/>
          </w:tcPr>
          <w:p w14:paraId="728386C7" w14:textId="0EEEC9DB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Battery-electric propulsion - </w:t>
            </w:r>
            <w:r w:rsidR="007262CF">
              <w:rPr>
                <w:rFonts w:asciiTheme="majorBidi" w:hAnsiTheme="majorBidi" w:cstheme="majorBidi"/>
                <w:sz w:val="19"/>
              </w:rPr>
              <w:t>Scale</w:t>
            </w:r>
          </w:p>
          <w:p w14:paraId="3AD67E06" w14:textId="458B3612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Hybrid-electric powertrains - </w:t>
            </w:r>
            <w:r w:rsidR="00334E8B">
              <w:rPr>
                <w:rFonts w:asciiTheme="majorBidi" w:hAnsiTheme="majorBidi" w:cstheme="majorBidi"/>
                <w:sz w:val="19"/>
              </w:rPr>
              <w:t>Scale</w:t>
            </w:r>
          </w:p>
          <w:p w14:paraId="07D04CF1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Maritime battery management systems - Uptake</w:t>
            </w:r>
          </w:p>
          <w:p w14:paraId="5D24732B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Shore charging interfaces and onboard power conversion - Uptake</w:t>
            </w:r>
          </w:p>
          <w:p w14:paraId="5A632C9C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Methanol dual-fuel engines - Uptake</w:t>
            </w:r>
          </w:p>
          <w:p w14:paraId="29B33D68" w14:textId="3B379CDF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Hydrogen fuel cell propulsion (PEM) </w:t>
            </w:r>
            <w:r w:rsidR="008C4789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Test</w:t>
            </w:r>
          </w:p>
          <w:p w14:paraId="5C47855D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Hydrogen internal combustion engines - Model/Test</w:t>
            </w:r>
          </w:p>
          <w:p w14:paraId="3ED41EAC" w14:textId="28D49FA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Ammonia-ready engine designs </w:t>
            </w:r>
            <w:r w:rsidR="00955CCB" w:rsidRPr="00F80DAC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Model</w:t>
            </w:r>
            <w:r w:rsidR="00955CCB" w:rsidRPr="00F80DAC">
              <w:rPr>
                <w:rFonts w:asciiTheme="majorBidi" w:hAnsiTheme="majorBidi" w:cstheme="majorBidi"/>
                <w:sz w:val="19"/>
              </w:rPr>
              <w:t>/test</w:t>
            </w:r>
          </w:p>
        </w:tc>
        <w:tc>
          <w:tcPr>
            <w:tcW w:w="3939" w:type="dxa"/>
          </w:tcPr>
          <w:p w14:paraId="023FEA99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Megawatt-scale fuel cells (PEM/SOFC) - Uptake</w:t>
            </w:r>
          </w:p>
          <w:p w14:paraId="6917ABAC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Liquefied hydrogen storage and handling systems - Uptake</w:t>
            </w:r>
          </w:p>
          <w:p w14:paraId="4C21D940" w14:textId="1088CFFB" w:rsidR="00785C98" w:rsidRPr="00294A35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Hydrogen-ready hybrid propulsion (fuel cell + battery) </w:t>
            </w:r>
            <w:r w:rsidR="00294A35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Uptake</w:t>
            </w:r>
          </w:p>
          <w:p w14:paraId="392490C5" w14:textId="34D1504D" w:rsidR="00294A35" w:rsidRPr="00294A35" w:rsidRDefault="00294A35" w:rsidP="00294A35">
            <w:pPr>
              <w:pStyle w:val="ListBullet"/>
              <w:spacing w:after="200" w:line="276" w:lineRule="auto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Hydrogen internal combustion engines - </w:t>
            </w:r>
            <w:r>
              <w:rPr>
                <w:rFonts w:asciiTheme="majorBidi" w:hAnsiTheme="majorBidi" w:cstheme="majorBidi"/>
                <w:sz w:val="19"/>
              </w:rPr>
              <w:t>Uptake</w:t>
            </w:r>
          </w:p>
          <w:p w14:paraId="731EA281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Ammonia-fuelled engines - Uptake</w:t>
            </w:r>
          </w:p>
          <w:p w14:paraId="794D32CF" w14:textId="71D70ED9" w:rsidR="00785C98" w:rsidRPr="00441D9B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Methanol dual-fuel engines </w:t>
            </w:r>
            <w:r w:rsidR="00441D9B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Scale</w:t>
            </w:r>
          </w:p>
          <w:p w14:paraId="3BE58E34" w14:textId="62619856" w:rsidR="00441D9B" w:rsidRPr="00F80DAC" w:rsidRDefault="00441D9B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Nuclear propulsion concepts - Model/Test</w:t>
            </w:r>
          </w:p>
          <w:p w14:paraId="21A32A75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Integrated power and propulsion plant control - Uptake</w:t>
            </w:r>
          </w:p>
        </w:tc>
        <w:tc>
          <w:tcPr>
            <w:tcW w:w="3851" w:type="dxa"/>
          </w:tcPr>
          <w:p w14:paraId="2BA862D5" w14:textId="2587BAC0" w:rsidR="00785C98" w:rsidRPr="003F2D39" w:rsidRDefault="001F2692" w:rsidP="001F2692">
            <w:pPr>
              <w:pStyle w:val="ListBullet"/>
              <w:rPr>
                <w:rFonts w:asciiTheme="majorBidi" w:hAnsiTheme="majorBidi" w:cstheme="majorBidi"/>
                <w:color w:val="000000" w:themeColor="text1"/>
              </w:rPr>
            </w:pPr>
            <w:r w:rsidRPr="00F80DAC">
              <w:rPr>
                <w:rFonts w:asciiTheme="majorBidi" w:hAnsiTheme="majorBidi" w:cstheme="majorBidi"/>
                <w:color w:val="000000" w:themeColor="text1"/>
                <w:sz w:val="19"/>
              </w:rPr>
              <w:t>High-power zero-emission propulsion system architectures (multi-fuel capable, incl. ammonia/hydrogen) – Scale</w:t>
            </w:r>
          </w:p>
          <w:p w14:paraId="1AF6279E" w14:textId="77777777" w:rsidR="003F2D39" w:rsidRPr="00F80DAC" w:rsidRDefault="003F2D39" w:rsidP="003F2D39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  <w:color w:val="000000" w:themeColor="text1"/>
              </w:rPr>
            </w:pPr>
          </w:p>
          <w:p w14:paraId="75E45D1E" w14:textId="29103FF0" w:rsidR="00785C98" w:rsidRPr="003F2D39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Next-generation energy storage </w:t>
            </w:r>
            <w:r w:rsidR="003F2D39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Uptake</w:t>
            </w:r>
          </w:p>
          <w:p w14:paraId="5EF987EC" w14:textId="77777777" w:rsidR="003F2D39" w:rsidRPr="00F80DAC" w:rsidRDefault="003F2D39" w:rsidP="003F2D39">
            <w:pPr>
              <w:pStyle w:val="ListBullet"/>
              <w:numPr>
                <w:ilvl w:val="0"/>
                <w:numId w:val="0"/>
              </w:numPr>
              <w:rPr>
                <w:rFonts w:asciiTheme="majorBidi" w:hAnsiTheme="majorBidi" w:cstheme="majorBidi"/>
              </w:rPr>
            </w:pPr>
          </w:p>
          <w:p w14:paraId="54D53CA3" w14:textId="0568B5B8" w:rsidR="00785C98" w:rsidRPr="003F2D39" w:rsidRDefault="00484989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H</w:t>
            </w:r>
            <w:r w:rsidR="00F636B0" w:rsidRPr="00F80DAC">
              <w:rPr>
                <w:rFonts w:asciiTheme="majorBidi" w:hAnsiTheme="majorBidi" w:cstheme="majorBidi"/>
                <w:sz w:val="19"/>
              </w:rPr>
              <w:t xml:space="preserve">igh-efficiency integrated electric propulsion </w:t>
            </w:r>
            <w:r w:rsidR="003F2D39">
              <w:rPr>
                <w:rFonts w:asciiTheme="majorBidi" w:hAnsiTheme="majorBidi" w:cstheme="majorBidi"/>
                <w:sz w:val="19"/>
              </w:rPr>
              <w:t>–</w:t>
            </w:r>
            <w:r w:rsidR="00F636B0" w:rsidRPr="00F80DAC">
              <w:rPr>
                <w:rFonts w:asciiTheme="majorBidi" w:hAnsiTheme="majorBidi" w:cstheme="majorBidi"/>
                <w:sz w:val="19"/>
              </w:rPr>
              <w:t xml:space="preserve"> Scale</w:t>
            </w:r>
          </w:p>
          <w:p w14:paraId="7731EF54" w14:textId="77777777" w:rsidR="003F2D39" w:rsidRPr="00F80DAC" w:rsidRDefault="003F2D39" w:rsidP="003F2D39">
            <w:pPr>
              <w:pStyle w:val="ListBullet"/>
              <w:numPr>
                <w:ilvl w:val="0"/>
                <w:numId w:val="0"/>
              </w:numPr>
              <w:rPr>
                <w:rFonts w:asciiTheme="majorBidi" w:hAnsiTheme="majorBidi" w:cstheme="majorBidi"/>
              </w:rPr>
            </w:pPr>
          </w:p>
          <w:p w14:paraId="1384130F" w14:textId="1694B9EA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Nuclear propulsion concepts </w:t>
            </w:r>
            <w:r w:rsidR="00441D9B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</w:t>
            </w:r>
            <w:r w:rsidR="00441D9B">
              <w:rPr>
                <w:rFonts w:asciiTheme="majorBidi" w:hAnsiTheme="majorBidi" w:cstheme="majorBidi"/>
                <w:sz w:val="19"/>
              </w:rPr>
              <w:t>Uptake/Scale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</w:t>
            </w:r>
          </w:p>
        </w:tc>
      </w:tr>
      <w:tr w:rsidR="00785C98" w:rsidRPr="00F80DAC" w14:paraId="77853438" w14:textId="77777777" w:rsidTr="00BE0C79">
        <w:trPr>
          <w:cantSplit/>
        </w:trPr>
        <w:tc>
          <w:tcPr>
            <w:tcW w:w="2623" w:type="dxa"/>
          </w:tcPr>
          <w:p w14:paraId="280AD8DE" w14:textId="77777777" w:rsidR="00785C98" w:rsidRPr="00F80DAC" w:rsidRDefault="00F636B0">
            <w:pPr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lastRenderedPageBreak/>
              <w:t>Digital Systems, Data &amp; Modelling</w:t>
            </w:r>
          </w:p>
        </w:tc>
        <w:tc>
          <w:tcPr>
            <w:tcW w:w="3915" w:type="dxa"/>
          </w:tcPr>
          <w:p w14:paraId="432E8AE0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Onboard sensorisation and data acquisition - Uptake</w:t>
            </w:r>
          </w:p>
          <w:p w14:paraId="6B927F20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Edge computing and onboard data platform - Uptake</w:t>
            </w:r>
          </w:p>
          <w:p w14:paraId="0AE303E1" w14:textId="77777777" w:rsidR="009213F9" w:rsidRPr="00F80DAC" w:rsidRDefault="009213F9" w:rsidP="009213F9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Ship–shore connectivity architecture – Uptake</w:t>
            </w:r>
          </w:p>
          <w:p w14:paraId="717A44C3" w14:textId="7274EE33" w:rsidR="00785C98" w:rsidRPr="00F80DAC" w:rsidRDefault="00F636B0" w:rsidP="009213F9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Baseline digital twin (energy-propulsion-emissions) - Test/Uptake</w:t>
            </w:r>
          </w:p>
          <w:p w14:paraId="7AACCF5E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Real-time emissions monitoring - Uptake</w:t>
            </w:r>
          </w:p>
          <w:p w14:paraId="529C43F5" w14:textId="05B35AC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Voyage optimisation systems - </w:t>
            </w:r>
            <w:r w:rsidR="009A0103">
              <w:rPr>
                <w:rFonts w:asciiTheme="majorBidi" w:hAnsiTheme="majorBidi" w:cstheme="majorBidi"/>
                <w:sz w:val="19"/>
              </w:rPr>
              <w:t>Scale</w:t>
            </w:r>
          </w:p>
          <w:p w14:paraId="4FE7DCC1" w14:textId="72A54AD9" w:rsidR="00785C98" w:rsidRPr="00F80DAC" w:rsidRDefault="00B92084" w:rsidP="00B92084">
            <w:pPr>
              <w:pStyle w:val="ListBullet"/>
              <w:rPr>
                <w:rFonts w:asciiTheme="majorBidi" w:hAnsiTheme="majorBidi" w:cstheme="majorBidi"/>
              </w:rPr>
            </w:pPr>
            <w:r w:rsidRPr="00B92084">
              <w:rPr>
                <w:rFonts w:asciiTheme="majorBidi" w:hAnsiTheme="majorBidi" w:cstheme="majorBidi"/>
                <w:sz w:val="19"/>
              </w:rPr>
              <w:t>Fleet-level performance analytics and benchmarking (energy, emissions)</w:t>
            </w:r>
            <w:r w:rsidR="00F636B0" w:rsidRPr="00F80DAC">
              <w:rPr>
                <w:rFonts w:asciiTheme="majorBidi" w:hAnsiTheme="majorBidi" w:cstheme="majorBidi"/>
                <w:sz w:val="19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</w:rPr>
              <w:t>–</w:t>
            </w:r>
            <w:r w:rsidR="00F636B0" w:rsidRPr="00F80DAC">
              <w:rPr>
                <w:rFonts w:asciiTheme="majorBidi" w:hAnsiTheme="majorBidi" w:cstheme="majorBidi"/>
                <w:sz w:val="19"/>
              </w:rPr>
              <w:t xml:space="preserve"> Uptake</w:t>
            </w:r>
            <w:r>
              <w:rPr>
                <w:rFonts w:asciiTheme="majorBidi" w:hAnsiTheme="majorBidi" w:cstheme="majorBidi"/>
                <w:sz w:val="19"/>
              </w:rPr>
              <w:t>/Scale</w:t>
            </w:r>
          </w:p>
          <w:p w14:paraId="0D0CAE49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Cybersecurity architecture for ship systems - Uptake</w:t>
            </w:r>
          </w:p>
        </w:tc>
        <w:tc>
          <w:tcPr>
            <w:tcW w:w="3939" w:type="dxa"/>
          </w:tcPr>
          <w:p w14:paraId="3A86D5A6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Continuously calibrated digital twins - Uptake</w:t>
            </w:r>
          </w:p>
          <w:p w14:paraId="61BF24CF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Automated emissions accounting and compliance optimisation - Uptake</w:t>
            </w:r>
          </w:p>
          <w:p w14:paraId="7CF3FB6D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Integrated ship-shore data exchange standards - Uptake/Scale</w:t>
            </w:r>
          </w:p>
          <w:p w14:paraId="2D32A922" w14:textId="6584EB8A" w:rsidR="002907B0" w:rsidRPr="00F80DAC" w:rsidRDefault="00F636B0" w:rsidP="006C2B52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Predictive maintenance analytics </w:t>
            </w:r>
            <w:r w:rsidR="00F11A14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Uptake</w:t>
            </w:r>
            <w:r w:rsidR="00F11A14">
              <w:rPr>
                <w:rFonts w:asciiTheme="majorBidi" w:hAnsiTheme="majorBidi" w:cstheme="majorBidi"/>
                <w:sz w:val="19"/>
              </w:rPr>
              <w:t>/Scale</w:t>
            </w:r>
          </w:p>
          <w:p w14:paraId="1777A140" w14:textId="016F7D9D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Advanced cyber resilience for remote/autonomy-enabled operations - Uptake</w:t>
            </w:r>
          </w:p>
          <w:p w14:paraId="6371CCF8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Resilient navigation integrity (spoofing/jamming detection) - Uptake</w:t>
            </w:r>
          </w:p>
        </w:tc>
        <w:tc>
          <w:tcPr>
            <w:tcW w:w="3851" w:type="dxa"/>
          </w:tcPr>
          <w:p w14:paraId="1FD13331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Ecosystem digital twins (ship-fleet-port) - Scale</w:t>
            </w:r>
          </w:p>
          <w:p w14:paraId="37A5A443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Trusted data provenance frameworks - Scale</w:t>
            </w:r>
          </w:p>
          <w:p w14:paraId="19560F3F" w14:textId="77777777" w:rsidR="00BD5DB8" w:rsidRPr="00F80DAC" w:rsidRDefault="00BD5DB8" w:rsidP="00BD5DB8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Continuous digital assurance toolchains (software, models, data) – Scale</w:t>
            </w:r>
          </w:p>
          <w:p w14:paraId="771FA912" w14:textId="77777777" w:rsidR="00785C98" w:rsidRPr="00F80DAC" w:rsidRDefault="0038578F" w:rsidP="00BD5DB8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color w:val="000000" w:themeColor="text1"/>
                <w:sz w:val="19"/>
              </w:rPr>
              <w:t>Safety-assured cyber-resilient digital infrastructure for autonomy – Scale</w:t>
            </w:r>
          </w:p>
          <w:p w14:paraId="42C0BFA7" w14:textId="14A60443" w:rsidR="006C2B52" w:rsidRPr="00F80DAC" w:rsidRDefault="006C2B52" w:rsidP="00BD5DB8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Closed-loop optimisation using verified real-time data - Scale</w:t>
            </w:r>
          </w:p>
        </w:tc>
      </w:tr>
      <w:tr w:rsidR="00785C98" w:rsidRPr="00F80DAC" w14:paraId="3DED4F97" w14:textId="77777777" w:rsidTr="00BE0C79">
        <w:trPr>
          <w:cantSplit/>
        </w:trPr>
        <w:tc>
          <w:tcPr>
            <w:tcW w:w="2623" w:type="dxa"/>
          </w:tcPr>
          <w:p w14:paraId="4C313E48" w14:textId="77777777" w:rsidR="00785C98" w:rsidRPr="00F80DAC" w:rsidRDefault="00F636B0">
            <w:pPr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t>Zero- and Near-Zero Technologies</w:t>
            </w:r>
          </w:p>
        </w:tc>
        <w:tc>
          <w:tcPr>
            <w:tcW w:w="3915" w:type="dxa"/>
          </w:tcPr>
          <w:p w14:paraId="182F2667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Onboard carbon capture and storage (OCCS) - Test</w:t>
            </w:r>
          </w:p>
          <w:p w14:paraId="63E0F384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Exhaust after-treatment architectures - Uptake</w:t>
            </w:r>
          </w:p>
          <w:p w14:paraId="47EAEE56" w14:textId="2B9E530B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Air lubrication systems - </w:t>
            </w:r>
            <w:r w:rsidR="008621A4">
              <w:rPr>
                <w:rFonts w:asciiTheme="majorBidi" w:hAnsiTheme="majorBidi" w:cstheme="majorBidi"/>
                <w:sz w:val="19"/>
              </w:rPr>
              <w:t>Scale</w:t>
            </w:r>
          </w:p>
          <w:p w14:paraId="1AC63BDA" w14:textId="7AF2F83F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Wind-assisted propulsion - </w:t>
            </w:r>
            <w:r w:rsidR="006841DC">
              <w:rPr>
                <w:rFonts w:asciiTheme="majorBidi" w:hAnsiTheme="majorBidi" w:cstheme="majorBidi"/>
                <w:sz w:val="19"/>
              </w:rPr>
              <w:t>Scale</w:t>
            </w:r>
          </w:p>
          <w:p w14:paraId="41F2CF2B" w14:textId="3A6F978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Waste heat recovery - </w:t>
            </w:r>
            <w:r w:rsidR="006841DC">
              <w:rPr>
                <w:rFonts w:asciiTheme="majorBidi" w:hAnsiTheme="majorBidi" w:cstheme="majorBidi"/>
                <w:sz w:val="19"/>
              </w:rPr>
              <w:t>Scale</w:t>
            </w:r>
          </w:p>
          <w:p w14:paraId="1B028E93" w14:textId="5C156CB6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Hull and propulsor efficiency technologies - </w:t>
            </w:r>
            <w:r w:rsidR="006841DC">
              <w:rPr>
                <w:rFonts w:asciiTheme="majorBidi" w:hAnsiTheme="majorBidi" w:cstheme="majorBidi"/>
                <w:sz w:val="19"/>
              </w:rPr>
              <w:t>Scale</w:t>
            </w:r>
          </w:p>
          <w:p w14:paraId="4C244ABC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color w:val="000000" w:themeColor="text1"/>
                <w:sz w:val="19"/>
              </w:rPr>
              <w:t>Alternative fuel readiness packages (methanol/biofuels) - Uptake</w:t>
            </w:r>
          </w:p>
        </w:tc>
        <w:tc>
          <w:tcPr>
            <w:tcW w:w="3939" w:type="dxa"/>
          </w:tcPr>
          <w:p w14:paraId="7BBFB224" w14:textId="7892DCE9" w:rsidR="00876E66" w:rsidRPr="00F80DAC" w:rsidRDefault="00876E66" w:rsidP="00876E66">
            <w:pPr>
              <w:pStyle w:val="ListBullet"/>
              <w:rPr>
                <w:rFonts w:asciiTheme="majorBidi" w:hAnsiTheme="majorBidi" w:cstheme="majorBidi"/>
                <w:color w:val="000000" w:themeColor="text1"/>
                <w:sz w:val="19"/>
              </w:rPr>
            </w:pPr>
            <w:r w:rsidRPr="00F80DAC">
              <w:rPr>
                <w:rFonts w:asciiTheme="majorBidi" w:hAnsiTheme="majorBidi" w:cstheme="majorBidi"/>
                <w:color w:val="000000" w:themeColor="text1"/>
                <w:sz w:val="19"/>
              </w:rPr>
              <w:t>High-capture OCCS with integrated CO₂ conditioning/offloading and verified accounting –</w:t>
            </w:r>
            <w:r>
              <w:rPr>
                <w:rFonts w:asciiTheme="majorBidi" w:hAnsiTheme="majorBidi" w:cstheme="majorBidi"/>
                <w:color w:val="000000" w:themeColor="text1"/>
                <w:sz w:val="19"/>
              </w:rPr>
              <w:t xml:space="preserve"> Uptake/</w:t>
            </w:r>
            <w:r w:rsidRPr="00F80DAC">
              <w:rPr>
                <w:rFonts w:asciiTheme="majorBidi" w:hAnsiTheme="majorBidi" w:cstheme="majorBidi"/>
                <w:color w:val="000000" w:themeColor="text1"/>
                <w:sz w:val="19"/>
              </w:rPr>
              <w:t xml:space="preserve"> Scale</w:t>
            </w:r>
          </w:p>
          <w:p w14:paraId="585F3F80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Integrated energy management systems - Uptake</w:t>
            </w:r>
          </w:p>
          <w:p w14:paraId="6F8CA2FA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Multi-fuel control and fuel switching systems - Uptake/Scale</w:t>
            </w:r>
          </w:p>
          <w:p w14:paraId="3C5ADB3E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Ammonia fuel systems (safety/conditioning) - Uptake</w:t>
            </w:r>
          </w:p>
          <w:p w14:paraId="473B01AF" w14:textId="01B87E1B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Liquefied hydrogen fuel systems (storage/handling) </w:t>
            </w:r>
            <w:r w:rsidR="00A0705D" w:rsidRPr="00F80DAC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Uptake</w:t>
            </w:r>
          </w:p>
          <w:p w14:paraId="0499BE62" w14:textId="2DEB1749" w:rsidR="00A0705D" w:rsidRPr="00F80DAC" w:rsidRDefault="00A0705D" w:rsidP="00876E66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</w:tc>
        <w:tc>
          <w:tcPr>
            <w:tcW w:w="3851" w:type="dxa"/>
          </w:tcPr>
          <w:p w14:paraId="7D0A001E" w14:textId="2C111BD4" w:rsidR="003C3D6B" w:rsidRPr="00CF07AA" w:rsidRDefault="003C3D6B" w:rsidP="003C3D6B">
            <w:pPr>
              <w:pStyle w:val="ListBullet"/>
              <w:rPr>
                <w:rFonts w:asciiTheme="majorBidi" w:hAnsiTheme="majorBidi" w:cstheme="majorBidi"/>
                <w:color w:val="000000" w:themeColor="text1"/>
              </w:rPr>
            </w:pPr>
            <w:r w:rsidRPr="00F80DAC">
              <w:rPr>
                <w:rFonts w:asciiTheme="majorBidi" w:hAnsiTheme="majorBidi" w:cstheme="majorBidi"/>
                <w:color w:val="000000" w:themeColor="text1"/>
                <w:sz w:val="19"/>
              </w:rPr>
              <w:t>Integrated alternative-fuel storage and fuel supply architectures – Scale</w:t>
            </w:r>
          </w:p>
          <w:p w14:paraId="42A96FFC" w14:textId="77777777" w:rsidR="00CF07AA" w:rsidRPr="00F80DAC" w:rsidRDefault="00CF07AA" w:rsidP="00CF07AA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  <w:color w:val="000000" w:themeColor="text1"/>
              </w:rPr>
            </w:pPr>
          </w:p>
          <w:p w14:paraId="453D4FA2" w14:textId="65DBED0A" w:rsidR="002001B4" w:rsidRPr="00F80DAC" w:rsidRDefault="002001B4" w:rsidP="002001B4">
            <w:pPr>
              <w:pStyle w:val="ListBullet"/>
              <w:rPr>
                <w:rFonts w:asciiTheme="majorBidi" w:hAnsiTheme="majorBidi" w:cstheme="majorBidi"/>
                <w:color w:val="000000" w:themeColor="text1"/>
                <w:sz w:val="19"/>
              </w:rPr>
            </w:pPr>
            <w:r w:rsidRPr="00F80DAC">
              <w:rPr>
                <w:rFonts w:asciiTheme="majorBidi" w:hAnsiTheme="majorBidi" w:cstheme="majorBidi"/>
                <w:color w:val="000000" w:themeColor="text1"/>
                <w:sz w:val="19"/>
              </w:rPr>
              <w:t>Ultra-high-efficiency whole-ship energy architectures – Scale</w:t>
            </w:r>
          </w:p>
          <w:p w14:paraId="0E6E70E2" w14:textId="0ED585B3" w:rsidR="00785C98" w:rsidRPr="00F80DAC" w:rsidRDefault="00785C98" w:rsidP="00F1462A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</w:tc>
      </w:tr>
      <w:tr w:rsidR="00785C98" w:rsidRPr="00F80DAC" w14:paraId="209BD1F5" w14:textId="77777777" w:rsidTr="00BE0C79">
        <w:trPr>
          <w:cantSplit/>
        </w:trPr>
        <w:tc>
          <w:tcPr>
            <w:tcW w:w="2623" w:type="dxa"/>
          </w:tcPr>
          <w:p w14:paraId="54132441" w14:textId="77777777" w:rsidR="00785C98" w:rsidRPr="00F80DAC" w:rsidRDefault="00F636B0">
            <w:pPr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b/>
                <w:sz w:val="20"/>
              </w:rPr>
              <w:lastRenderedPageBreak/>
              <w:t>Automation &amp; Autonomy</w:t>
            </w:r>
          </w:p>
        </w:tc>
        <w:tc>
          <w:tcPr>
            <w:tcW w:w="3915" w:type="dxa"/>
          </w:tcPr>
          <w:p w14:paraId="7D62A7A1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Decision-support automation (bridge and engine-room) - Uptake</w:t>
            </w:r>
          </w:p>
          <w:p w14:paraId="4CC5B968" w14:textId="38B27535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Automated navigation assistance </w:t>
            </w:r>
            <w:r w:rsidR="00F21076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</w:t>
            </w:r>
            <w:r w:rsidR="00D25BF0" w:rsidRPr="00F80DAC">
              <w:rPr>
                <w:rFonts w:asciiTheme="majorBidi" w:hAnsiTheme="majorBidi" w:cstheme="majorBidi"/>
                <w:sz w:val="19"/>
              </w:rPr>
              <w:t>Uptake</w:t>
            </w:r>
            <w:r w:rsidR="00F21076">
              <w:rPr>
                <w:rFonts w:asciiTheme="majorBidi" w:hAnsiTheme="majorBidi" w:cstheme="majorBidi"/>
                <w:sz w:val="19"/>
              </w:rPr>
              <w:t>/Scale</w:t>
            </w:r>
          </w:p>
          <w:p w14:paraId="5866B69A" w14:textId="18D008C1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Automated situational awareness - Test/Uptake</w:t>
            </w:r>
          </w:p>
          <w:p w14:paraId="77781A64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Remote diagnostics and remote support - Uptake</w:t>
            </w:r>
          </w:p>
          <w:p w14:paraId="55997679" w14:textId="3E595100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Automated machinery and power management </w:t>
            </w:r>
            <w:r w:rsidR="00BB56D7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Uptake</w:t>
            </w:r>
            <w:r w:rsidR="00BB56D7">
              <w:rPr>
                <w:rFonts w:asciiTheme="majorBidi" w:hAnsiTheme="majorBidi" w:cstheme="majorBidi"/>
                <w:sz w:val="19"/>
              </w:rPr>
              <w:t>/Scale</w:t>
            </w:r>
          </w:p>
          <w:p w14:paraId="7B62DB71" w14:textId="2E0A15EC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Automated docking assistance </w:t>
            </w:r>
            <w:r w:rsidR="00BB56D7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Test</w:t>
            </w:r>
            <w:r w:rsidR="00BB56D7">
              <w:rPr>
                <w:rFonts w:asciiTheme="majorBidi" w:hAnsiTheme="majorBidi" w:cstheme="majorBidi"/>
                <w:sz w:val="19"/>
              </w:rPr>
              <w:t>/ Uptake</w:t>
            </w:r>
          </w:p>
          <w:p w14:paraId="1A8975F0" w14:textId="21CC19E4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Inspection robotics </w:t>
            </w:r>
            <w:r w:rsidR="00BB56D7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Test</w:t>
            </w:r>
            <w:r w:rsidR="00BB56D7">
              <w:rPr>
                <w:rFonts w:asciiTheme="majorBidi" w:hAnsiTheme="majorBidi" w:cstheme="majorBidi"/>
                <w:sz w:val="19"/>
              </w:rPr>
              <w:t>/ Uptake</w:t>
            </w:r>
          </w:p>
          <w:p w14:paraId="224B086A" w14:textId="7FE5374A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Human-machine interface for supervisory control </w:t>
            </w:r>
            <w:r w:rsidR="00E604F9" w:rsidRPr="00F80DAC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Uptake</w:t>
            </w:r>
          </w:p>
          <w:p w14:paraId="178704D3" w14:textId="702AD6F1" w:rsidR="00E604F9" w:rsidRPr="00F80DAC" w:rsidRDefault="00E604F9" w:rsidP="00E604F9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Remote operations capability (shore control integration) - Uptake</w:t>
            </w:r>
          </w:p>
          <w:p w14:paraId="267E43A4" w14:textId="77777777" w:rsidR="00E604F9" w:rsidRPr="00F80DAC" w:rsidRDefault="00E604F9" w:rsidP="00E604F9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</w:tc>
        <w:tc>
          <w:tcPr>
            <w:tcW w:w="3939" w:type="dxa"/>
          </w:tcPr>
          <w:p w14:paraId="54F5C10B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Supervised autonomy (human-in-the-loop) - Uptake</w:t>
            </w:r>
          </w:p>
          <w:p w14:paraId="3D4326CE" w14:textId="65648FB2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 xml:space="preserve">Autonomous docking/berthing </w:t>
            </w:r>
            <w:r w:rsidR="00F64766">
              <w:rPr>
                <w:rFonts w:asciiTheme="majorBidi" w:hAnsiTheme="majorBidi" w:cstheme="majorBidi"/>
                <w:sz w:val="19"/>
              </w:rPr>
              <w:t>–</w:t>
            </w:r>
            <w:r w:rsidRPr="00F80DAC">
              <w:rPr>
                <w:rFonts w:asciiTheme="majorBidi" w:hAnsiTheme="majorBidi" w:cstheme="majorBidi"/>
                <w:sz w:val="19"/>
              </w:rPr>
              <w:t xml:space="preserve"> </w:t>
            </w:r>
            <w:r w:rsidR="00F64766">
              <w:rPr>
                <w:rFonts w:asciiTheme="majorBidi" w:hAnsiTheme="majorBidi" w:cstheme="majorBidi"/>
                <w:sz w:val="19"/>
              </w:rPr>
              <w:t xml:space="preserve">Uptake/ </w:t>
            </w:r>
            <w:r w:rsidR="00B47B70">
              <w:rPr>
                <w:rFonts w:asciiTheme="majorBidi" w:hAnsiTheme="majorBidi" w:cstheme="majorBidi"/>
                <w:sz w:val="19"/>
              </w:rPr>
              <w:t>Scale</w:t>
            </w:r>
          </w:p>
          <w:p w14:paraId="54349091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Fault-tolerant control and redundancy management - Uptake</w:t>
            </w:r>
          </w:p>
          <w:p w14:paraId="7F9ADB72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Autonomy-ready perception stack - Uptake</w:t>
            </w:r>
          </w:p>
          <w:p w14:paraId="72E19D45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Operational envelopes and fallback systems - Uptake</w:t>
            </w:r>
          </w:p>
          <w:p w14:paraId="17A5542E" w14:textId="77777777" w:rsidR="000F470B" w:rsidRPr="00F80DAC" w:rsidRDefault="000F470B" w:rsidP="000F470B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Robotics for inspection and maintenance at scale - Scale</w:t>
            </w:r>
          </w:p>
          <w:p w14:paraId="5077C997" w14:textId="77777777" w:rsidR="00785C98" w:rsidRPr="00F80DAC" w:rsidRDefault="00F636B0">
            <w:pPr>
              <w:pStyle w:val="ListBullet"/>
              <w:rPr>
                <w:rFonts w:asciiTheme="majorBidi" w:hAnsiTheme="majorBidi" w:cstheme="majorBidi"/>
              </w:rPr>
            </w:pPr>
            <w:r w:rsidRPr="00F80DAC">
              <w:rPr>
                <w:rFonts w:asciiTheme="majorBidi" w:hAnsiTheme="majorBidi" w:cstheme="majorBidi"/>
                <w:sz w:val="19"/>
              </w:rPr>
              <w:t>Autonomous route execution in defined operating areas - Uptake</w:t>
            </w:r>
          </w:p>
        </w:tc>
        <w:tc>
          <w:tcPr>
            <w:tcW w:w="3851" w:type="dxa"/>
          </w:tcPr>
          <w:p w14:paraId="51335BE2" w14:textId="77777777" w:rsidR="00F10EEC" w:rsidRPr="00F10EEC" w:rsidRDefault="00F10EEC" w:rsidP="00F10EEC">
            <w:pPr>
              <w:pStyle w:val="ListBullet"/>
              <w:rPr>
                <w:rFonts w:asciiTheme="majorBidi" w:hAnsiTheme="majorBidi" w:cstheme="majorBidi"/>
                <w:sz w:val="19"/>
              </w:rPr>
            </w:pPr>
            <w:r w:rsidRPr="00F10EEC">
              <w:rPr>
                <w:rFonts w:asciiTheme="majorBidi" w:hAnsiTheme="majorBidi" w:cstheme="majorBidi"/>
                <w:sz w:val="19"/>
              </w:rPr>
              <w:t>Operational autonomy in mixed traffic with co-operative behaviours (ship–ship / ship–shore intent sharing and coordinated manoeuvres) – Scale</w:t>
            </w:r>
          </w:p>
          <w:p w14:paraId="3A58CC7C" w14:textId="77777777" w:rsidR="00F10EEC" w:rsidRPr="00F10EEC" w:rsidRDefault="00F10EEC" w:rsidP="00F10EEC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  <w:sz w:val="19"/>
              </w:rPr>
            </w:pPr>
          </w:p>
          <w:p w14:paraId="7BA993A6" w14:textId="77777777" w:rsidR="00F10EEC" w:rsidRPr="00F10EEC" w:rsidRDefault="00F10EEC" w:rsidP="00F10EEC">
            <w:pPr>
              <w:pStyle w:val="ListBullet"/>
              <w:rPr>
                <w:rFonts w:asciiTheme="majorBidi" w:hAnsiTheme="majorBidi" w:cstheme="majorBidi"/>
                <w:sz w:val="19"/>
              </w:rPr>
            </w:pPr>
            <w:r w:rsidRPr="00F10EEC">
              <w:rPr>
                <w:rFonts w:asciiTheme="majorBidi" w:hAnsiTheme="majorBidi" w:cstheme="majorBidi"/>
                <w:sz w:val="19"/>
              </w:rPr>
              <w:t>Mission and fleet autonomy (goal-based mission management with dynamic replanning; fleet-level orchestration for multi-vessel tasking and scheduling) – Scale</w:t>
            </w:r>
          </w:p>
          <w:p w14:paraId="33924902" w14:textId="77777777" w:rsidR="00F10EEC" w:rsidRPr="00F10EEC" w:rsidRDefault="00F10EEC" w:rsidP="00F10EEC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  <w:sz w:val="19"/>
              </w:rPr>
            </w:pPr>
          </w:p>
          <w:p w14:paraId="605B10AE" w14:textId="0E079564" w:rsidR="00785C98" w:rsidRPr="00F80DAC" w:rsidRDefault="00F10EEC" w:rsidP="00F10EEC">
            <w:pPr>
              <w:pStyle w:val="ListBullet"/>
              <w:rPr>
                <w:rFonts w:asciiTheme="majorBidi" w:hAnsiTheme="majorBidi" w:cstheme="majorBidi"/>
              </w:rPr>
            </w:pPr>
            <w:r w:rsidRPr="00F10EEC">
              <w:rPr>
                <w:rFonts w:asciiTheme="majorBidi" w:hAnsiTheme="majorBidi" w:cstheme="majorBidi"/>
                <w:sz w:val="19"/>
              </w:rPr>
              <w:t>Autonomy assurance and certification toolchain (verification and validation, scenario libraries, safety-case evidence, and runtime assurance/monitoring) – Scale</w:t>
            </w:r>
          </w:p>
        </w:tc>
      </w:tr>
    </w:tbl>
    <w:p w14:paraId="49903874" w14:textId="77777777" w:rsidR="00885970" w:rsidRPr="00F80DAC" w:rsidRDefault="00885970">
      <w:pPr>
        <w:rPr>
          <w:rFonts w:asciiTheme="majorBidi" w:hAnsiTheme="majorBidi" w:cstheme="majorBidi"/>
        </w:rPr>
      </w:pPr>
    </w:p>
    <w:p w14:paraId="227480E9" w14:textId="77777777" w:rsidR="00630647" w:rsidRDefault="00630647" w:rsidP="00630647">
      <w:pPr>
        <w:rPr>
          <w:rFonts w:asciiTheme="majorBidi" w:hAnsiTheme="majorBidi" w:cstheme="majorBidi"/>
          <w:i/>
          <w:iCs/>
          <w:lang w:val="en-GB"/>
        </w:rPr>
      </w:pPr>
      <w:r w:rsidRPr="00F80DAC">
        <w:rPr>
          <w:rFonts w:asciiTheme="majorBidi" w:hAnsiTheme="majorBidi" w:cstheme="majorBidi"/>
          <w:lang w:val="en-GB"/>
        </w:rPr>
        <w:t xml:space="preserve">Note: </w:t>
      </w:r>
      <w:r w:rsidRPr="00F80DAC">
        <w:rPr>
          <w:rFonts w:asciiTheme="majorBidi" w:hAnsiTheme="majorBidi" w:cstheme="majorBidi"/>
          <w:i/>
          <w:iCs/>
          <w:lang w:val="en-GB"/>
        </w:rPr>
        <w:t>The vessel, corridor and Remote Operations Centre figures are indicative planning ranges, not forecasts.</w:t>
      </w:r>
    </w:p>
    <w:p w14:paraId="09E75548" w14:textId="75053A2A" w:rsidR="00C755DB" w:rsidRPr="00F80DAC" w:rsidRDefault="00C755DB" w:rsidP="00C755DB">
      <w:pPr>
        <w:rPr>
          <w:rFonts w:asciiTheme="majorBidi" w:hAnsiTheme="majorBidi" w:cstheme="majorBidi"/>
          <w:lang w:val="en-GB"/>
        </w:rPr>
      </w:pPr>
      <w:r w:rsidRPr="00C755DB">
        <w:rPr>
          <w:rFonts w:asciiTheme="majorBidi" w:hAnsiTheme="majorBidi" w:cstheme="majorBidi"/>
          <w:lang w:val="en-GB"/>
        </w:rPr>
        <w:t>Note</w:t>
      </w:r>
      <w:r>
        <w:rPr>
          <w:rFonts w:asciiTheme="majorBidi" w:hAnsiTheme="majorBidi" w:cstheme="majorBidi"/>
          <w:i/>
          <w:iCs/>
          <w:lang w:val="en-GB"/>
        </w:rPr>
        <w:t>:</w:t>
      </w:r>
      <w:r w:rsidRPr="00C755DB">
        <w:t xml:space="preserve"> </w:t>
      </w:r>
      <w:r w:rsidRPr="00C755DB">
        <w:rPr>
          <w:rFonts w:asciiTheme="majorBidi" w:hAnsiTheme="majorBidi" w:cstheme="majorBidi"/>
          <w:i/>
          <w:iCs/>
        </w:rPr>
        <w:t xml:space="preserve">Ship measures are </w:t>
      </w:r>
      <w:r w:rsidRPr="00C755DB">
        <w:rPr>
          <w:rFonts w:asciiTheme="majorBidi" w:hAnsiTheme="majorBidi" w:cstheme="majorBidi"/>
          <w:b/>
          <w:bCs/>
          <w:i/>
          <w:iCs/>
        </w:rPr>
        <w:t>goal-based and ship-specific</w:t>
      </w:r>
      <w:r w:rsidRPr="00C755DB">
        <w:rPr>
          <w:rFonts w:asciiTheme="majorBidi" w:hAnsiTheme="majorBidi" w:cstheme="majorBidi"/>
          <w:i/>
          <w:iCs/>
        </w:rPr>
        <w:t xml:space="preserve">; the roadmap sets out options, but the optimal package depends on many factors, including (but not limited to) </w:t>
      </w:r>
      <w:r w:rsidRPr="00C755DB">
        <w:rPr>
          <w:rFonts w:asciiTheme="majorBidi" w:hAnsiTheme="majorBidi" w:cstheme="majorBidi"/>
          <w:b/>
          <w:bCs/>
          <w:i/>
          <w:iCs/>
        </w:rPr>
        <w:t>vessel design</w:t>
      </w:r>
      <w:r w:rsidR="004A6810">
        <w:rPr>
          <w:rFonts w:asciiTheme="majorBidi" w:hAnsiTheme="majorBidi" w:cstheme="majorBidi"/>
          <w:b/>
          <w:bCs/>
          <w:i/>
          <w:iCs/>
        </w:rPr>
        <w:t>, vessel type</w:t>
      </w:r>
      <w:r w:rsidRPr="00C755DB">
        <w:rPr>
          <w:rFonts w:asciiTheme="majorBidi" w:hAnsiTheme="majorBidi" w:cstheme="majorBidi"/>
          <w:b/>
          <w:bCs/>
          <w:i/>
          <w:iCs/>
        </w:rPr>
        <w:t>,</w:t>
      </w:r>
      <w:r w:rsidR="004A6810">
        <w:rPr>
          <w:rFonts w:asciiTheme="majorBidi" w:hAnsiTheme="majorBidi" w:cstheme="majorBidi"/>
          <w:b/>
          <w:bCs/>
          <w:i/>
          <w:iCs/>
        </w:rPr>
        <w:t xml:space="preserve"> vessel’s</w:t>
      </w:r>
      <w:r w:rsidRPr="00C755DB">
        <w:rPr>
          <w:rFonts w:asciiTheme="majorBidi" w:hAnsiTheme="majorBidi" w:cstheme="majorBidi"/>
          <w:b/>
          <w:bCs/>
          <w:i/>
          <w:iCs/>
        </w:rPr>
        <w:t xml:space="preserve"> </w:t>
      </w:r>
      <w:r w:rsidR="004A6810">
        <w:rPr>
          <w:rFonts w:asciiTheme="majorBidi" w:hAnsiTheme="majorBidi" w:cstheme="majorBidi"/>
          <w:b/>
          <w:bCs/>
          <w:i/>
          <w:iCs/>
        </w:rPr>
        <w:t xml:space="preserve">age, </w:t>
      </w:r>
      <w:r w:rsidRPr="00C755DB">
        <w:rPr>
          <w:rFonts w:asciiTheme="majorBidi" w:hAnsiTheme="majorBidi" w:cstheme="majorBidi"/>
          <w:b/>
          <w:bCs/>
          <w:i/>
          <w:iCs/>
        </w:rPr>
        <w:t>operational profile/trade, infrastructure readiness, safety and assurance requirements, and economics</w:t>
      </w:r>
      <w:r w:rsidRPr="00C755DB">
        <w:rPr>
          <w:rFonts w:asciiTheme="majorBidi" w:hAnsiTheme="majorBidi" w:cstheme="majorBidi"/>
          <w:i/>
          <w:iCs/>
        </w:rPr>
        <w:t>.</w:t>
      </w:r>
    </w:p>
    <w:p w14:paraId="1920B51A" w14:textId="5BE9F291" w:rsidR="00D13BBF" w:rsidRPr="00C755DB" w:rsidRDefault="00630647" w:rsidP="00C755DB">
      <w:pPr>
        <w:numPr>
          <w:ilvl w:val="0"/>
          <w:numId w:val="16"/>
        </w:numPr>
        <w:rPr>
          <w:rFonts w:asciiTheme="majorBidi" w:hAnsiTheme="majorBidi" w:cstheme="majorBidi"/>
          <w:i/>
          <w:iCs/>
          <w:lang w:val="en-GB"/>
        </w:rPr>
      </w:pPr>
      <w:r w:rsidRPr="00F80DAC">
        <w:rPr>
          <w:rFonts w:asciiTheme="majorBidi" w:hAnsiTheme="majorBidi" w:cstheme="majorBidi"/>
          <w:b/>
          <w:bCs/>
          <w:lang w:val="en-GB"/>
        </w:rPr>
        <w:t>Corridor:</w:t>
      </w:r>
      <w:r w:rsidRPr="00F80DAC">
        <w:rPr>
          <w:rFonts w:asciiTheme="majorBidi" w:hAnsiTheme="majorBidi" w:cstheme="majorBidi"/>
          <w:lang w:val="en-GB"/>
        </w:rPr>
        <w:t xml:space="preserve"> </w:t>
      </w:r>
      <w:r w:rsidRPr="00F80DAC">
        <w:rPr>
          <w:rFonts w:asciiTheme="majorBidi" w:hAnsiTheme="majorBidi" w:cstheme="majorBidi"/>
          <w:i/>
          <w:iCs/>
          <w:lang w:val="en-GB"/>
        </w:rPr>
        <w:t>A defined route or operating area with agreed procedures, communications arrangements and assurance requirements for routine remote and/or autonomous operations.</w:t>
      </w:r>
    </w:p>
    <w:p w14:paraId="1F1D622A" w14:textId="77777777" w:rsidR="00630647" w:rsidRPr="00F80DAC" w:rsidRDefault="00630647" w:rsidP="00630647">
      <w:pPr>
        <w:numPr>
          <w:ilvl w:val="0"/>
          <w:numId w:val="16"/>
        </w:numPr>
        <w:rPr>
          <w:rFonts w:asciiTheme="majorBidi" w:hAnsiTheme="majorBidi" w:cstheme="majorBidi"/>
          <w:i/>
          <w:iCs/>
          <w:lang w:val="en-GB"/>
        </w:rPr>
      </w:pPr>
      <w:r w:rsidRPr="00F80DAC">
        <w:rPr>
          <w:rFonts w:asciiTheme="majorBidi" w:hAnsiTheme="majorBidi" w:cstheme="majorBidi"/>
          <w:b/>
          <w:bCs/>
          <w:lang w:val="en-GB"/>
        </w:rPr>
        <w:t>Remote Operations Centres:</w:t>
      </w:r>
      <w:r w:rsidRPr="00F80DAC">
        <w:rPr>
          <w:rFonts w:asciiTheme="majorBidi" w:hAnsiTheme="majorBidi" w:cstheme="majorBidi"/>
          <w:lang w:val="en-GB"/>
        </w:rPr>
        <w:t xml:space="preserve"> </w:t>
      </w:r>
      <w:r w:rsidRPr="00F80DAC">
        <w:rPr>
          <w:rFonts w:asciiTheme="majorBidi" w:hAnsiTheme="majorBidi" w:cstheme="majorBidi"/>
          <w:i/>
          <w:iCs/>
          <w:lang w:val="en-GB"/>
        </w:rPr>
        <w:t>Numbers are based on indicative supervision-capacity assumptions and will be refined with operators and regulators (for example, one centre may support approximately 10–25 large vessels, depending on autonomy level, traffic complexity and operating model).</w:t>
      </w:r>
    </w:p>
    <w:p w14:paraId="3FA10800" w14:textId="5222F742" w:rsidR="00885970" w:rsidRPr="00F80DAC" w:rsidRDefault="00885970" w:rsidP="00630647">
      <w:pPr>
        <w:rPr>
          <w:rFonts w:asciiTheme="majorBidi" w:hAnsiTheme="majorBidi" w:cstheme="majorBidi"/>
          <w:lang w:val="en-GB"/>
        </w:rPr>
      </w:pPr>
    </w:p>
    <w:sectPr w:rsidR="00885970" w:rsidRPr="00F80DA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F7EA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B459BD"/>
    <w:multiLevelType w:val="multilevel"/>
    <w:tmpl w:val="C8D29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E80251"/>
    <w:multiLevelType w:val="hybridMultilevel"/>
    <w:tmpl w:val="4238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678A9"/>
    <w:multiLevelType w:val="hybridMultilevel"/>
    <w:tmpl w:val="79788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54A01"/>
    <w:multiLevelType w:val="multilevel"/>
    <w:tmpl w:val="794E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CC21D7"/>
    <w:multiLevelType w:val="hybridMultilevel"/>
    <w:tmpl w:val="BDA4D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27A5E"/>
    <w:multiLevelType w:val="hybridMultilevel"/>
    <w:tmpl w:val="93E8A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856772">
    <w:abstractNumId w:val="8"/>
  </w:num>
  <w:num w:numId="2" w16cid:durableId="1350764034">
    <w:abstractNumId w:val="6"/>
  </w:num>
  <w:num w:numId="3" w16cid:durableId="1161584859">
    <w:abstractNumId w:val="5"/>
  </w:num>
  <w:num w:numId="4" w16cid:durableId="1570995047">
    <w:abstractNumId w:val="4"/>
  </w:num>
  <w:num w:numId="5" w16cid:durableId="1326516584">
    <w:abstractNumId w:val="7"/>
  </w:num>
  <w:num w:numId="6" w16cid:durableId="275453413">
    <w:abstractNumId w:val="3"/>
  </w:num>
  <w:num w:numId="7" w16cid:durableId="2139907354">
    <w:abstractNumId w:val="2"/>
  </w:num>
  <w:num w:numId="8" w16cid:durableId="1003968203">
    <w:abstractNumId w:val="1"/>
  </w:num>
  <w:num w:numId="9" w16cid:durableId="1395934034">
    <w:abstractNumId w:val="0"/>
  </w:num>
  <w:num w:numId="10" w16cid:durableId="206665">
    <w:abstractNumId w:val="11"/>
  </w:num>
  <w:num w:numId="11" w16cid:durableId="627518229">
    <w:abstractNumId w:val="14"/>
  </w:num>
  <w:num w:numId="12" w16cid:durableId="906645978">
    <w:abstractNumId w:val="13"/>
  </w:num>
  <w:num w:numId="13" w16cid:durableId="1983197985">
    <w:abstractNumId w:val="8"/>
  </w:num>
  <w:num w:numId="14" w16cid:durableId="322240869">
    <w:abstractNumId w:val="8"/>
  </w:num>
  <w:num w:numId="15" w16cid:durableId="1535583231">
    <w:abstractNumId w:val="10"/>
  </w:num>
  <w:num w:numId="16" w16cid:durableId="938294428">
    <w:abstractNumId w:val="9"/>
  </w:num>
  <w:num w:numId="17" w16cid:durableId="1728528426">
    <w:abstractNumId w:val="8"/>
  </w:num>
  <w:num w:numId="18" w16cid:durableId="19655779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B94"/>
    <w:rsid w:val="00050441"/>
    <w:rsid w:val="0006063C"/>
    <w:rsid w:val="00072524"/>
    <w:rsid w:val="00073341"/>
    <w:rsid w:val="00085E3B"/>
    <w:rsid w:val="000C5FCF"/>
    <w:rsid w:val="000F470B"/>
    <w:rsid w:val="001065E0"/>
    <w:rsid w:val="0015074B"/>
    <w:rsid w:val="00152C0D"/>
    <w:rsid w:val="00193B57"/>
    <w:rsid w:val="001A3760"/>
    <w:rsid w:val="001E7A58"/>
    <w:rsid w:val="001F094B"/>
    <w:rsid w:val="001F2692"/>
    <w:rsid w:val="002001B4"/>
    <w:rsid w:val="00240952"/>
    <w:rsid w:val="0024401A"/>
    <w:rsid w:val="00256768"/>
    <w:rsid w:val="0027198B"/>
    <w:rsid w:val="0029004C"/>
    <w:rsid w:val="002907B0"/>
    <w:rsid w:val="00294A35"/>
    <w:rsid w:val="0029639D"/>
    <w:rsid w:val="002C4144"/>
    <w:rsid w:val="002D56BC"/>
    <w:rsid w:val="002E36D4"/>
    <w:rsid w:val="002F51E2"/>
    <w:rsid w:val="00326F90"/>
    <w:rsid w:val="00334E8B"/>
    <w:rsid w:val="003628C4"/>
    <w:rsid w:val="0038578F"/>
    <w:rsid w:val="003C3D6B"/>
    <w:rsid w:val="003D083A"/>
    <w:rsid w:val="003D78A0"/>
    <w:rsid w:val="003F2D39"/>
    <w:rsid w:val="0040214F"/>
    <w:rsid w:val="00404087"/>
    <w:rsid w:val="004122FA"/>
    <w:rsid w:val="00425B3F"/>
    <w:rsid w:val="004272F2"/>
    <w:rsid w:val="00431CFB"/>
    <w:rsid w:val="00441D9B"/>
    <w:rsid w:val="00455F2D"/>
    <w:rsid w:val="00484989"/>
    <w:rsid w:val="004A521A"/>
    <w:rsid w:val="004A6810"/>
    <w:rsid w:val="004D2259"/>
    <w:rsid w:val="004F1B03"/>
    <w:rsid w:val="00513825"/>
    <w:rsid w:val="00547AC6"/>
    <w:rsid w:val="005648AD"/>
    <w:rsid w:val="005C5DE4"/>
    <w:rsid w:val="00630647"/>
    <w:rsid w:val="006752BA"/>
    <w:rsid w:val="006841DC"/>
    <w:rsid w:val="00695C66"/>
    <w:rsid w:val="006C2B52"/>
    <w:rsid w:val="006E2904"/>
    <w:rsid w:val="006E359A"/>
    <w:rsid w:val="007129D8"/>
    <w:rsid w:val="00725B09"/>
    <w:rsid w:val="007262CF"/>
    <w:rsid w:val="00785C98"/>
    <w:rsid w:val="007E59AD"/>
    <w:rsid w:val="007E5A76"/>
    <w:rsid w:val="00817399"/>
    <w:rsid w:val="00827FFB"/>
    <w:rsid w:val="0085142A"/>
    <w:rsid w:val="0086001A"/>
    <w:rsid w:val="008621A4"/>
    <w:rsid w:val="00876E66"/>
    <w:rsid w:val="00885970"/>
    <w:rsid w:val="008C4789"/>
    <w:rsid w:val="008C690F"/>
    <w:rsid w:val="008D08E9"/>
    <w:rsid w:val="008E6F27"/>
    <w:rsid w:val="00907BE4"/>
    <w:rsid w:val="00920761"/>
    <w:rsid w:val="009213F9"/>
    <w:rsid w:val="00934EE4"/>
    <w:rsid w:val="00955CCB"/>
    <w:rsid w:val="0096761A"/>
    <w:rsid w:val="009918E5"/>
    <w:rsid w:val="009A0103"/>
    <w:rsid w:val="009B5600"/>
    <w:rsid w:val="009F7CEA"/>
    <w:rsid w:val="00A0705D"/>
    <w:rsid w:val="00A36F05"/>
    <w:rsid w:val="00A6038A"/>
    <w:rsid w:val="00A87F7A"/>
    <w:rsid w:val="00AA1D8D"/>
    <w:rsid w:val="00AD2116"/>
    <w:rsid w:val="00AF3243"/>
    <w:rsid w:val="00AF7BB7"/>
    <w:rsid w:val="00B20177"/>
    <w:rsid w:val="00B3664C"/>
    <w:rsid w:val="00B4265E"/>
    <w:rsid w:val="00B47730"/>
    <w:rsid w:val="00B47B70"/>
    <w:rsid w:val="00B65F67"/>
    <w:rsid w:val="00B8020C"/>
    <w:rsid w:val="00B92084"/>
    <w:rsid w:val="00BB56D7"/>
    <w:rsid w:val="00BD5DB8"/>
    <w:rsid w:val="00BE0C79"/>
    <w:rsid w:val="00BF41CB"/>
    <w:rsid w:val="00C10120"/>
    <w:rsid w:val="00C42AC4"/>
    <w:rsid w:val="00C644EF"/>
    <w:rsid w:val="00C70F62"/>
    <w:rsid w:val="00C755DB"/>
    <w:rsid w:val="00CB0664"/>
    <w:rsid w:val="00CC6108"/>
    <w:rsid w:val="00CD2295"/>
    <w:rsid w:val="00CD4D46"/>
    <w:rsid w:val="00CF07AA"/>
    <w:rsid w:val="00D13BBF"/>
    <w:rsid w:val="00D156B8"/>
    <w:rsid w:val="00D25BF0"/>
    <w:rsid w:val="00D2671E"/>
    <w:rsid w:val="00D544F1"/>
    <w:rsid w:val="00DB30AD"/>
    <w:rsid w:val="00E07F62"/>
    <w:rsid w:val="00E5064E"/>
    <w:rsid w:val="00E5394D"/>
    <w:rsid w:val="00E604F9"/>
    <w:rsid w:val="00E75453"/>
    <w:rsid w:val="00E80F14"/>
    <w:rsid w:val="00F10EEC"/>
    <w:rsid w:val="00F11A14"/>
    <w:rsid w:val="00F120FC"/>
    <w:rsid w:val="00F1462A"/>
    <w:rsid w:val="00F21076"/>
    <w:rsid w:val="00F36D4A"/>
    <w:rsid w:val="00F6062A"/>
    <w:rsid w:val="00F636B0"/>
    <w:rsid w:val="00F64498"/>
    <w:rsid w:val="00F64766"/>
    <w:rsid w:val="00F75652"/>
    <w:rsid w:val="00F80DAC"/>
    <w:rsid w:val="00FB714E"/>
    <w:rsid w:val="00FC693F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3E2D2F7-C191-45FA-A746-62F8DAAB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63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C940BB016E146B59AC643970B4039" ma:contentTypeVersion="19" ma:contentTypeDescription="Create a new document." ma:contentTypeScope="" ma:versionID="35f6cca9d162fd1a75c1bea22493d091">
  <xsd:schema xmlns:xsd="http://www.w3.org/2001/XMLSchema" xmlns:xs="http://www.w3.org/2001/XMLSchema" xmlns:p="http://schemas.microsoft.com/office/2006/metadata/properties" xmlns:ns2="34044de5-c943-4312-bf6a-15b96d62b5e7" xmlns:ns3="38c14193-8a4a-4f93-9a8d-a7db0686a7cd" targetNamespace="http://schemas.microsoft.com/office/2006/metadata/properties" ma:root="true" ma:fieldsID="7b372cfb5a990d60bf9883d021b6f97a" ns2:_="" ns3:_="">
    <xsd:import namespace="34044de5-c943-4312-bf6a-15b96d62b5e7"/>
    <xsd:import namespace="38c14193-8a4a-4f93-9a8d-a7db0686a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44de5-c943-4312-bf6a-15b96d62b5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14193-8a4a-4f93-9a8d-a7db0686a7c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8c21e4-0575-4806-8ace-7bbeb1182f7e}" ma:internalName="TaxCatchAll" ma:showField="CatchAllData" ma:web="38c14193-8a4a-4f93-9a8d-a7db0686a7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c14193-8a4a-4f93-9a8d-a7db0686a7cd" xsi:nil="true"/>
    <lcf76f155ced4ddcb4097134ff3c332f xmlns="34044de5-c943-4312-bf6a-15b96d62b5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7D785A-A743-4D9B-BA11-CCC5D7F51822}"/>
</file>

<file path=customXml/itemProps3.xml><?xml version="1.0" encoding="utf-8"?>
<ds:datastoreItem xmlns:ds="http://schemas.openxmlformats.org/officeDocument/2006/customXml" ds:itemID="{7FEB90DD-8687-4DC7-BE49-DDDFB53C2E9B}"/>
</file>

<file path=customXml/itemProps4.xml><?xml version="1.0" encoding="utf-8"?>
<ds:datastoreItem xmlns:ds="http://schemas.openxmlformats.org/officeDocument/2006/customXml" ds:itemID="{4F8327ED-F47B-41C9-8375-402550522D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Seyedvahid Vakili</cp:lastModifiedBy>
  <cp:revision>132</cp:revision>
  <dcterms:created xsi:type="dcterms:W3CDTF">2013-12-23T23:15:00Z</dcterms:created>
  <dcterms:modified xsi:type="dcterms:W3CDTF">2025-12-18T16:12:00Z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0x01010011CC940BB016E146B59AC643970B4039</vt:lpwstr>
  </property>
</Properties>
</file>